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3A71" w14:textId="0258A308" w:rsidR="00DA0C8A" w:rsidRPr="00DA0C8A" w:rsidRDefault="007459FD" w:rsidP="00500009">
      <w:pPr>
        <w:spacing w:after="100"/>
        <w:jc w:val="center"/>
        <w:rPr>
          <w:rFonts w:ascii="Arial" w:hAnsi="Arial" w:cs="Arial"/>
          <w:b/>
          <w:bCs/>
          <w:sz w:val="22"/>
          <w:szCs w:val="22"/>
        </w:rPr>
      </w:pPr>
      <w:r w:rsidRPr="00A8358E">
        <w:rPr>
          <w:rFonts w:ascii="Arial" w:hAnsi="Arial" w:cs="Arial"/>
          <w:b/>
          <w:bCs/>
          <w:sz w:val="22"/>
          <w:szCs w:val="22"/>
        </w:rPr>
        <w:t xml:space="preserve">What does </w:t>
      </w:r>
      <w:r w:rsidR="00DA0C8A" w:rsidRPr="00DA0C8A">
        <w:rPr>
          <w:rFonts w:ascii="Arial" w:hAnsi="Arial" w:cs="Arial"/>
          <w:b/>
          <w:bCs/>
          <w:sz w:val="22"/>
          <w:szCs w:val="22"/>
        </w:rPr>
        <w:t>Illinois Charitable Trust Bureau</w:t>
      </w:r>
      <w:r w:rsidRPr="00A8358E">
        <w:rPr>
          <w:rFonts w:ascii="Arial" w:hAnsi="Arial" w:cs="Arial"/>
          <w:b/>
          <w:bCs/>
          <w:sz w:val="22"/>
          <w:szCs w:val="22"/>
        </w:rPr>
        <w:t xml:space="preserve"> provide? – A Basic Guidance</w:t>
      </w:r>
    </w:p>
    <w:tbl>
      <w:tblPr>
        <w:tblStyle w:val="TableGrid"/>
        <w:tblpPr w:leftFromText="180" w:rightFromText="180" w:vertAnchor="text" w:horzAnchor="margin" w:tblpY="223"/>
        <w:tblW w:w="0" w:type="auto"/>
        <w:tblCellMar>
          <w:top w:w="115" w:type="dxa"/>
          <w:bottom w:w="115" w:type="dxa"/>
        </w:tblCellMar>
        <w:tblLook w:val="04A0" w:firstRow="1" w:lastRow="0" w:firstColumn="1" w:lastColumn="0" w:noHBand="0" w:noVBand="1"/>
      </w:tblPr>
      <w:tblGrid>
        <w:gridCol w:w="10754"/>
      </w:tblGrid>
      <w:tr w:rsidR="00595B86" w14:paraId="0255EC2A" w14:textId="77777777" w:rsidTr="00F02D78">
        <w:tc>
          <w:tcPr>
            <w:tcW w:w="10790" w:type="dxa"/>
            <w:tcBorders>
              <w:top w:val="single" w:sz="18" w:space="0" w:color="auto"/>
              <w:left w:val="single" w:sz="18" w:space="0" w:color="auto"/>
              <w:bottom w:val="single" w:sz="18" w:space="0" w:color="auto"/>
              <w:right w:val="single" w:sz="18" w:space="0" w:color="auto"/>
            </w:tcBorders>
          </w:tcPr>
          <w:p w14:paraId="2373E34E" w14:textId="024E1BCD" w:rsidR="00500009" w:rsidRPr="00500009" w:rsidRDefault="00500009" w:rsidP="00595B86">
            <w:pPr>
              <w:spacing w:after="100" w:line="278" w:lineRule="auto"/>
              <w:rPr>
                <w:rFonts w:ascii="Arial" w:hAnsi="Arial" w:cs="Arial"/>
                <w:b/>
                <w:bCs/>
                <w:sz w:val="22"/>
                <w:szCs w:val="22"/>
              </w:rPr>
            </w:pPr>
            <w:r w:rsidRPr="00500009">
              <w:rPr>
                <w:rFonts w:ascii="Arial" w:hAnsi="Arial" w:cs="Arial"/>
                <w:b/>
                <w:bCs/>
                <w:sz w:val="22"/>
                <w:szCs w:val="22"/>
              </w:rPr>
              <w:t>Overview</w:t>
            </w:r>
          </w:p>
          <w:p w14:paraId="4ECF50A7" w14:textId="33FFBEC6" w:rsidR="004C4999" w:rsidRDefault="00ED2C27" w:rsidP="00595B86">
            <w:pPr>
              <w:spacing w:after="100" w:line="278" w:lineRule="auto"/>
              <w:rPr>
                <w:rFonts w:ascii="Arial" w:hAnsi="Arial" w:cs="Arial"/>
                <w:sz w:val="22"/>
                <w:szCs w:val="22"/>
              </w:rPr>
            </w:pPr>
            <w:r w:rsidRPr="00ED2C27">
              <w:rPr>
                <w:rFonts w:ascii="Arial" w:hAnsi="Arial" w:cs="Arial"/>
                <w:sz w:val="22"/>
                <w:szCs w:val="22"/>
              </w:rPr>
              <w:t xml:space="preserve">The Charitable Trust Bureau oversees various matters related to charitable organizations </w:t>
            </w:r>
            <w:r>
              <w:rPr>
                <w:rFonts w:ascii="Arial" w:hAnsi="Arial" w:cs="Arial"/>
                <w:sz w:val="22"/>
                <w:szCs w:val="22"/>
              </w:rPr>
              <w:t xml:space="preserve">who fundraise, manage charitable funds, or operate as a nonprofit </w:t>
            </w:r>
            <w:r w:rsidRPr="00ED2C27">
              <w:rPr>
                <w:rFonts w:ascii="Arial" w:hAnsi="Arial" w:cs="Arial"/>
                <w:sz w:val="22"/>
                <w:szCs w:val="22"/>
              </w:rPr>
              <w:t>in Illinois. We register and review nonprofits, oversee charitable trusts, investigate cases where the funds are inadequately used, and provide resources to help organizations stay compliant and transparent</w:t>
            </w:r>
            <w:r w:rsidR="00D014B1">
              <w:rPr>
                <w:rFonts w:ascii="Arial" w:hAnsi="Arial" w:cs="Arial"/>
                <w:sz w:val="22"/>
                <w:szCs w:val="22"/>
              </w:rPr>
              <w:t xml:space="preserve">, including </w:t>
            </w:r>
            <w:r w:rsidR="004C4999">
              <w:rPr>
                <w:rFonts w:ascii="Arial" w:hAnsi="Arial" w:cs="Arial"/>
                <w:sz w:val="22"/>
                <w:szCs w:val="22"/>
              </w:rPr>
              <w:t xml:space="preserve">our online portal, </w:t>
            </w:r>
            <w:r w:rsidR="00936C3A" w:rsidRPr="00D014B1">
              <w:rPr>
                <w:rFonts w:ascii="Arial" w:hAnsi="Arial" w:cs="Arial"/>
                <w:b/>
                <w:bCs/>
                <w:sz w:val="22"/>
                <w:szCs w:val="22"/>
              </w:rPr>
              <w:t>Illinois Attorney General Charitable Trust Online Filing System</w:t>
            </w:r>
            <w:r w:rsidR="004C4999">
              <w:rPr>
                <w:rFonts w:ascii="Arial" w:hAnsi="Arial" w:cs="Arial"/>
                <w:sz w:val="22"/>
                <w:szCs w:val="22"/>
              </w:rPr>
              <w:t>. This</w:t>
            </w:r>
            <w:r w:rsidR="00936C3A">
              <w:rPr>
                <w:rFonts w:ascii="Arial" w:hAnsi="Arial" w:cs="Arial"/>
                <w:sz w:val="22"/>
                <w:szCs w:val="22"/>
              </w:rPr>
              <w:t xml:space="preserve"> </w:t>
            </w:r>
            <w:r w:rsidR="004C4999">
              <w:rPr>
                <w:rFonts w:ascii="Arial" w:hAnsi="Arial" w:cs="Arial"/>
                <w:sz w:val="22"/>
                <w:szCs w:val="22"/>
              </w:rPr>
              <w:t>p</w:t>
            </w:r>
            <w:r w:rsidR="00936C3A">
              <w:rPr>
                <w:rFonts w:ascii="Arial" w:hAnsi="Arial" w:cs="Arial"/>
                <w:sz w:val="22"/>
                <w:szCs w:val="22"/>
              </w:rPr>
              <w:t xml:space="preserve">ortal </w:t>
            </w:r>
            <w:r w:rsidR="004C4999">
              <w:rPr>
                <w:rFonts w:ascii="Arial" w:hAnsi="Arial" w:cs="Arial"/>
                <w:sz w:val="22"/>
                <w:szCs w:val="22"/>
              </w:rPr>
              <w:t xml:space="preserve">is </w:t>
            </w:r>
            <w:r w:rsidR="00936C3A">
              <w:rPr>
                <w:rFonts w:ascii="Arial" w:hAnsi="Arial" w:cs="Arial"/>
                <w:sz w:val="22"/>
                <w:szCs w:val="22"/>
              </w:rPr>
              <w:t>designed to provide guidance of the filing process for charitable organizations</w:t>
            </w:r>
            <w:r w:rsidR="004C4999">
              <w:rPr>
                <w:rFonts w:ascii="Arial" w:hAnsi="Arial" w:cs="Arial"/>
                <w:sz w:val="22"/>
                <w:szCs w:val="22"/>
              </w:rPr>
              <w:t>, which could be accessed through this link:</w:t>
            </w:r>
            <w:r w:rsidR="004C4999">
              <w:rPr>
                <w:rFonts w:ascii="Arial" w:hAnsi="Arial" w:cs="Arial"/>
                <w:sz w:val="22"/>
                <w:szCs w:val="22"/>
              </w:rPr>
              <w:br/>
            </w:r>
            <w:r w:rsidR="004C4999">
              <w:t xml:space="preserve"> </w:t>
            </w:r>
            <w:hyperlink r:id="rId5" w:history="1">
              <w:r w:rsidR="004C4999" w:rsidRPr="00290A5A">
                <w:rPr>
                  <w:rStyle w:val="Hyperlink"/>
                  <w:rFonts w:ascii="Arial" w:hAnsi="Arial" w:cs="Arial"/>
                  <w:sz w:val="22"/>
                  <w:szCs w:val="22"/>
                </w:rPr>
                <w:t>https://www.illinoisattorneygeneral.gov/consumer-protection/charities/</w:t>
              </w:r>
            </w:hyperlink>
            <w:r w:rsidR="004C4999">
              <w:rPr>
                <w:rFonts w:ascii="Arial" w:hAnsi="Arial" w:cs="Arial"/>
                <w:sz w:val="22"/>
                <w:szCs w:val="22"/>
              </w:rPr>
              <w:t xml:space="preserve"> </w:t>
            </w:r>
          </w:p>
        </w:tc>
      </w:tr>
    </w:tbl>
    <w:p w14:paraId="7409843A" w14:textId="6CF404A3" w:rsidR="00DA0C8A" w:rsidRPr="00DA0C8A" w:rsidRDefault="00DA0C8A" w:rsidP="00DA0C8A">
      <w:pPr>
        <w:spacing w:after="100"/>
        <w:rPr>
          <w:rFonts w:ascii="Arial" w:hAnsi="Arial" w:cs="Arial"/>
          <w:sz w:val="22"/>
          <w:szCs w:val="22"/>
        </w:rPr>
      </w:pPr>
    </w:p>
    <w:p w14:paraId="68581FE8" w14:textId="7285F8B5" w:rsidR="00376826" w:rsidRPr="00376826" w:rsidRDefault="00376826" w:rsidP="00376826">
      <w:pPr>
        <w:spacing w:after="100"/>
        <w:rPr>
          <w:rFonts w:ascii="Arial" w:hAnsi="Arial" w:cs="Arial"/>
          <w:b/>
          <w:bCs/>
          <w:sz w:val="22"/>
          <w:szCs w:val="22"/>
        </w:rPr>
      </w:pPr>
      <w:r w:rsidRPr="00376826">
        <w:rPr>
          <w:rFonts w:ascii="Arial" w:hAnsi="Arial" w:cs="Arial"/>
          <w:b/>
          <w:bCs/>
          <w:sz w:val="22"/>
          <w:szCs w:val="22"/>
        </w:rPr>
        <w:t>Q. Our organization manages or is connected to a charitable trust. What does the Bureau do related to this?</w:t>
      </w:r>
    </w:p>
    <w:p w14:paraId="5F5CBD1C" w14:textId="6660E1C8" w:rsidR="00376826" w:rsidRDefault="00376826" w:rsidP="00376826">
      <w:pPr>
        <w:spacing w:after="100"/>
        <w:rPr>
          <w:rFonts w:ascii="Arial" w:hAnsi="Arial" w:cs="Arial"/>
          <w:b/>
          <w:bCs/>
          <w:sz w:val="22"/>
          <w:szCs w:val="22"/>
        </w:rPr>
      </w:pPr>
      <w:r w:rsidRPr="00376826">
        <w:rPr>
          <w:rFonts w:ascii="Arial" w:hAnsi="Arial" w:cs="Arial"/>
          <w:b/>
          <w:bCs/>
          <w:sz w:val="22"/>
          <w:szCs w:val="22"/>
        </w:rPr>
        <w:t>A:</w:t>
      </w:r>
      <w:r w:rsidR="007D02B7" w:rsidRPr="000105E9">
        <w:rPr>
          <w:rFonts w:ascii="Arial" w:hAnsi="Arial" w:cs="Arial"/>
          <w:b/>
          <w:bCs/>
          <w:sz w:val="22"/>
          <w:szCs w:val="22"/>
        </w:rPr>
        <w:t xml:space="preserve"> </w:t>
      </w:r>
      <w:r w:rsidR="00D57BDC" w:rsidRPr="000105E9">
        <w:rPr>
          <w:rFonts w:ascii="Arial" w:hAnsi="Arial" w:cs="Arial"/>
          <w:sz w:val="22"/>
          <w:szCs w:val="22"/>
        </w:rPr>
        <w:t>The Bureau oversees charitable trusts operating in Illinois to ensure they are managed in accordance with their charitable purposes. For instance, we review trust documents to ensure that the terms are consistent with Illinois law and monitor trustee activities to ensure that assets are handled according to the trust's purpose. If we do find out that the activities do not align with the charitable purpose, we may petition the Court to modify the trusts so that the organization can continue to carry out the donor's original charitable intent</w:t>
      </w:r>
      <w:r w:rsidR="007D02B7" w:rsidRPr="000105E9">
        <w:rPr>
          <w:rFonts w:ascii="Arial" w:hAnsi="Arial" w:cs="Arial"/>
          <w:sz w:val="22"/>
          <w:szCs w:val="22"/>
        </w:rPr>
        <w:t>.</w:t>
      </w:r>
      <w:r w:rsidR="007D02B7" w:rsidRPr="000105E9">
        <w:rPr>
          <w:rFonts w:ascii="Arial" w:hAnsi="Arial" w:cs="Arial"/>
          <w:b/>
          <w:bCs/>
          <w:sz w:val="22"/>
          <w:szCs w:val="22"/>
        </w:rPr>
        <w:t xml:space="preserve"> </w:t>
      </w:r>
    </w:p>
    <w:p w14:paraId="3841A8DE" w14:textId="77777777" w:rsidR="00D108C3" w:rsidRDefault="00D108C3" w:rsidP="00D108C3">
      <w:pPr>
        <w:spacing w:after="100"/>
        <w:rPr>
          <w:rFonts w:ascii="Arial" w:hAnsi="Arial" w:cs="Arial"/>
          <w:b/>
          <w:bCs/>
          <w:sz w:val="22"/>
          <w:szCs w:val="22"/>
        </w:rPr>
      </w:pPr>
    </w:p>
    <w:p w14:paraId="42AB9C9A" w14:textId="58226A7A" w:rsidR="00D108C3" w:rsidRPr="00DA0C8A" w:rsidRDefault="00D108C3" w:rsidP="00D108C3">
      <w:pPr>
        <w:spacing w:after="100"/>
        <w:rPr>
          <w:rFonts w:ascii="Arial" w:hAnsi="Arial" w:cs="Arial"/>
          <w:sz w:val="22"/>
          <w:szCs w:val="22"/>
        </w:rPr>
      </w:pPr>
      <w:r w:rsidRPr="00DA0C8A">
        <w:rPr>
          <w:rFonts w:ascii="Arial" w:hAnsi="Arial" w:cs="Arial"/>
          <w:b/>
          <w:bCs/>
          <w:sz w:val="22"/>
          <w:szCs w:val="22"/>
        </w:rPr>
        <w:t xml:space="preserve">Q. Does the Bureau get involved in </w:t>
      </w:r>
      <w:r>
        <w:rPr>
          <w:rFonts w:ascii="Arial" w:hAnsi="Arial" w:cs="Arial"/>
          <w:b/>
          <w:bCs/>
          <w:sz w:val="22"/>
          <w:szCs w:val="22"/>
        </w:rPr>
        <w:t xml:space="preserve">investigations or </w:t>
      </w:r>
      <w:r w:rsidRPr="00DA0C8A">
        <w:rPr>
          <w:rFonts w:ascii="Arial" w:hAnsi="Arial" w:cs="Arial"/>
          <w:b/>
          <w:bCs/>
          <w:sz w:val="22"/>
          <w:szCs w:val="22"/>
        </w:rPr>
        <w:t>court matters?</w:t>
      </w:r>
      <w:r w:rsidRPr="00DA0C8A">
        <w:rPr>
          <w:rFonts w:ascii="Arial" w:hAnsi="Arial" w:cs="Arial"/>
          <w:sz w:val="22"/>
          <w:szCs w:val="22"/>
        </w:rPr>
        <w:br/>
      </w:r>
      <w:r>
        <w:rPr>
          <w:rFonts w:ascii="Arial" w:hAnsi="Arial" w:cs="Arial"/>
          <w:sz w:val="22"/>
          <w:szCs w:val="22"/>
        </w:rPr>
        <w:t xml:space="preserve">A: </w:t>
      </w:r>
      <w:r w:rsidRPr="00DA0C8A">
        <w:rPr>
          <w:rFonts w:ascii="Arial" w:hAnsi="Arial" w:cs="Arial"/>
          <w:sz w:val="22"/>
          <w:szCs w:val="22"/>
        </w:rPr>
        <w:t xml:space="preserve">Yes. </w:t>
      </w:r>
      <w:r w:rsidRPr="00D108C3">
        <w:rPr>
          <w:rFonts w:ascii="Arial" w:hAnsi="Arial" w:cs="Arial"/>
          <w:sz w:val="22"/>
          <w:szCs w:val="22"/>
        </w:rPr>
        <w:t>When a complaint or concern is raised about a charitable organization, the Bureau carefully reviews the matter to ensure that charitable assets are being used appropriately. If it turns out through investigation that an organization has violated charitable trust laws, misused funds, or engaged in deceptive fundraising practices, the Bureau may take action to correct the issue and protect the public’s interest in charitable giving.</w:t>
      </w:r>
      <w:r>
        <w:rPr>
          <w:rFonts w:ascii="Arial" w:hAnsi="Arial" w:cs="Arial"/>
          <w:sz w:val="22"/>
          <w:szCs w:val="22"/>
        </w:rPr>
        <w:t xml:space="preserve"> Moreover, the Bureau</w:t>
      </w:r>
      <w:r w:rsidRPr="00DA0C8A">
        <w:rPr>
          <w:rFonts w:ascii="Arial" w:hAnsi="Arial" w:cs="Arial"/>
          <w:sz w:val="22"/>
          <w:szCs w:val="22"/>
        </w:rPr>
        <w:t xml:space="preserve"> review</w:t>
      </w:r>
      <w:r>
        <w:rPr>
          <w:rFonts w:ascii="Arial" w:hAnsi="Arial" w:cs="Arial"/>
          <w:sz w:val="22"/>
          <w:szCs w:val="22"/>
        </w:rPr>
        <w:t>s</w:t>
      </w:r>
      <w:r w:rsidRPr="00DA0C8A">
        <w:rPr>
          <w:rFonts w:ascii="Arial" w:hAnsi="Arial" w:cs="Arial"/>
          <w:sz w:val="22"/>
          <w:szCs w:val="22"/>
        </w:rPr>
        <w:t xml:space="preserve"> or participate</w:t>
      </w:r>
      <w:r>
        <w:rPr>
          <w:rFonts w:ascii="Arial" w:hAnsi="Arial" w:cs="Arial"/>
          <w:sz w:val="22"/>
          <w:szCs w:val="22"/>
        </w:rPr>
        <w:t>s</w:t>
      </w:r>
      <w:r w:rsidRPr="00DA0C8A">
        <w:rPr>
          <w:rFonts w:ascii="Arial" w:hAnsi="Arial" w:cs="Arial"/>
          <w:sz w:val="22"/>
          <w:szCs w:val="22"/>
        </w:rPr>
        <w:t xml:space="preserve"> in court proceedings involving charitable assets </w:t>
      </w:r>
      <w:r>
        <w:rPr>
          <w:rFonts w:ascii="Arial" w:hAnsi="Arial" w:cs="Arial"/>
          <w:sz w:val="22"/>
          <w:szCs w:val="22"/>
        </w:rPr>
        <w:t xml:space="preserve">such as </w:t>
      </w:r>
      <w:r w:rsidRPr="00DA0C8A">
        <w:rPr>
          <w:rFonts w:ascii="Arial" w:hAnsi="Arial" w:cs="Arial"/>
          <w:sz w:val="22"/>
          <w:szCs w:val="22"/>
        </w:rPr>
        <w:t>trustee appointments, settlements, or dissolutions of nonprofits</w:t>
      </w:r>
      <w:r w:rsidR="00435471">
        <w:rPr>
          <w:rFonts w:ascii="Arial" w:hAnsi="Arial" w:cs="Arial"/>
          <w:sz w:val="22"/>
          <w:szCs w:val="22"/>
        </w:rPr>
        <w:t xml:space="preserve">, in order to ensure that charitable interests are consistently dedicated to charitable purposes. </w:t>
      </w:r>
    </w:p>
    <w:p w14:paraId="6C1ABE00" w14:textId="77777777" w:rsidR="00435471" w:rsidRDefault="00435471" w:rsidP="00376826">
      <w:pPr>
        <w:spacing w:after="100"/>
        <w:rPr>
          <w:rFonts w:ascii="Arial" w:hAnsi="Arial" w:cs="Arial"/>
          <w:b/>
          <w:bCs/>
          <w:sz w:val="22"/>
          <w:szCs w:val="22"/>
        </w:rPr>
      </w:pPr>
    </w:p>
    <w:p w14:paraId="750CDD7F" w14:textId="44AD7880" w:rsidR="00376826" w:rsidRPr="00376826" w:rsidRDefault="00376826" w:rsidP="00376826">
      <w:pPr>
        <w:spacing w:after="100"/>
        <w:rPr>
          <w:rFonts w:ascii="Arial" w:hAnsi="Arial" w:cs="Arial"/>
          <w:b/>
          <w:bCs/>
          <w:sz w:val="22"/>
          <w:szCs w:val="22"/>
        </w:rPr>
      </w:pPr>
      <w:r w:rsidRPr="00376826">
        <w:rPr>
          <w:rFonts w:ascii="Arial" w:hAnsi="Arial" w:cs="Arial"/>
          <w:b/>
          <w:bCs/>
          <w:sz w:val="22"/>
          <w:szCs w:val="22"/>
        </w:rPr>
        <w:t xml:space="preserve">Q. Our organization is planning </w:t>
      </w:r>
      <w:r w:rsidR="00435471">
        <w:rPr>
          <w:rFonts w:ascii="Arial" w:hAnsi="Arial" w:cs="Arial"/>
          <w:b/>
          <w:bCs/>
          <w:sz w:val="22"/>
          <w:szCs w:val="22"/>
        </w:rPr>
        <w:t>major changes such as</w:t>
      </w:r>
      <w:r w:rsidRPr="00376826">
        <w:rPr>
          <w:rFonts w:ascii="Arial" w:hAnsi="Arial" w:cs="Arial"/>
          <w:b/>
          <w:bCs/>
          <w:sz w:val="22"/>
          <w:szCs w:val="22"/>
        </w:rPr>
        <w:t xml:space="preserve"> merger, dissolution, or large asset transfer. Does the Bureau get involved?</w:t>
      </w:r>
    </w:p>
    <w:p w14:paraId="20375490" w14:textId="3C220A46" w:rsidR="00376826" w:rsidRPr="00376826" w:rsidRDefault="00376826" w:rsidP="000105E9">
      <w:pPr>
        <w:spacing w:after="100"/>
        <w:rPr>
          <w:rFonts w:ascii="Arial" w:hAnsi="Arial" w:cs="Arial"/>
          <w:sz w:val="22"/>
          <w:szCs w:val="22"/>
        </w:rPr>
      </w:pPr>
      <w:r w:rsidRPr="00376826">
        <w:rPr>
          <w:rFonts w:ascii="Arial" w:hAnsi="Arial" w:cs="Arial"/>
          <w:b/>
          <w:bCs/>
          <w:sz w:val="22"/>
          <w:szCs w:val="22"/>
        </w:rPr>
        <w:t>A:</w:t>
      </w:r>
      <w:r w:rsidR="000105E9" w:rsidRPr="000105E9">
        <w:rPr>
          <w:rFonts w:ascii="Arial" w:hAnsi="Arial" w:cs="Arial"/>
          <w:b/>
          <w:bCs/>
          <w:sz w:val="22"/>
          <w:szCs w:val="22"/>
        </w:rPr>
        <w:t xml:space="preserve"> </w:t>
      </w:r>
      <w:r w:rsidRPr="00376826">
        <w:rPr>
          <w:rFonts w:ascii="Arial" w:hAnsi="Arial" w:cs="Arial"/>
          <w:sz w:val="22"/>
          <w:szCs w:val="22"/>
        </w:rPr>
        <w:t>Yes. The Bureau helps safeguard charitable assets during major organizational changes by reviewing significant transactions such a</w:t>
      </w:r>
      <w:r w:rsidR="000105E9" w:rsidRPr="00435471">
        <w:rPr>
          <w:rFonts w:ascii="Arial" w:hAnsi="Arial" w:cs="Arial"/>
          <w:sz w:val="22"/>
          <w:szCs w:val="22"/>
        </w:rPr>
        <w:t>s m</w:t>
      </w:r>
      <w:r w:rsidRPr="00376826">
        <w:rPr>
          <w:rFonts w:ascii="Arial" w:hAnsi="Arial" w:cs="Arial"/>
          <w:sz w:val="22"/>
          <w:szCs w:val="22"/>
        </w:rPr>
        <w:t>ergers or consolidations with other nonprofits,</w:t>
      </w:r>
      <w:r w:rsidR="000105E9" w:rsidRPr="00435471">
        <w:rPr>
          <w:rFonts w:ascii="Arial" w:hAnsi="Arial" w:cs="Arial"/>
          <w:sz w:val="22"/>
          <w:szCs w:val="22"/>
        </w:rPr>
        <w:t xml:space="preserve"> d</w:t>
      </w:r>
      <w:r w:rsidRPr="00376826">
        <w:rPr>
          <w:rFonts w:ascii="Arial" w:hAnsi="Arial" w:cs="Arial"/>
          <w:sz w:val="22"/>
          <w:szCs w:val="22"/>
        </w:rPr>
        <w:t xml:space="preserve">issolutions or </w:t>
      </w:r>
      <w:r w:rsidR="000105E9" w:rsidRPr="00435471">
        <w:rPr>
          <w:rFonts w:ascii="Arial" w:hAnsi="Arial" w:cs="Arial"/>
          <w:sz w:val="22"/>
          <w:szCs w:val="22"/>
        </w:rPr>
        <w:t>significant asset transfers involving l</w:t>
      </w:r>
      <w:r w:rsidRPr="00376826">
        <w:rPr>
          <w:rFonts w:ascii="Arial" w:hAnsi="Arial" w:cs="Arial"/>
          <w:sz w:val="22"/>
          <w:szCs w:val="22"/>
        </w:rPr>
        <w:t>arge charitable properties or funds.</w:t>
      </w:r>
      <w:r w:rsidR="00435471">
        <w:rPr>
          <w:rFonts w:ascii="Arial" w:hAnsi="Arial" w:cs="Arial"/>
          <w:sz w:val="22"/>
          <w:szCs w:val="22"/>
        </w:rPr>
        <w:t xml:space="preserve"> The aim is </w:t>
      </w:r>
      <w:r w:rsidR="0034542D">
        <w:rPr>
          <w:rFonts w:ascii="Arial" w:hAnsi="Arial" w:cs="Arial"/>
          <w:sz w:val="22"/>
          <w:szCs w:val="22"/>
        </w:rPr>
        <w:t xml:space="preserve">ensure that no </w:t>
      </w:r>
      <w:r w:rsidR="0034542D" w:rsidRPr="0034542D">
        <w:rPr>
          <w:rFonts w:ascii="Arial" w:hAnsi="Arial" w:cs="Arial"/>
          <w:sz w:val="22"/>
          <w:szCs w:val="22"/>
        </w:rPr>
        <w:t>assets are diverted for private gain and that donors’ contributions are honored.</w:t>
      </w:r>
    </w:p>
    <w:p w14:paraId="56525113" w14:textId="77777777" w:rsidR="00435471" w:rsidRDefault="00435471" w:rsidP="00435471">
      <w:pPr>
        <w:spacing w:after="100"/>
        <w:rPr>
          <w:rFonts w:ascii="Arial" w:hAnsi="Arial" w:cs="Arial"/>
          <w:b/>
          <w:bCs/>
          <w:sz w:val="22"/>
          <w:szCs w:val="22"/>
        </w:rPr>
      </w:pPr>
    </w:p>
    <w:p w14:paraId="410F1C0D" w14:textId="26639B87" w:rsidR="00435471" w:rsidRPr="00D108C3" w:rsidRDefault="00435471" w:rsidP="00435471">
      <w:pPr>
        <w:spacing w:after="100"/>
        <w:rPr>
          <w:rFonts w:ascii="Arial" w:hAnsi="Arial" w:cs="Arial"/>
          <w:b/>
          <w:bCs/>
          <w:sz w:val="22"/>
          <w:szCs w:val="22"/>
        </w:rPr>
      </w:pPr>
      <w:r w:rsidRPr="00D108C3">
        <w:rPr>
          <w:rFonts w:ascii="Arial" w:hAnsi="Arial" w:cs="Arial"/>
          <w:b/>
          <w:bCs/>
          <w:sz w:val="22"/>
          <w:szCs w:val="22"/>
        </w:rPr>
        <w:t xml:space="preserve">Q. </w:t>
      </w:r>
      <w:r w:rsidRPr="00D108C3">
        <w:rPr>
          <w:rFonts w:ascii="Arial" w:hAnsi="Arial" w:cs="Arial"/>
          <w:b/>
          <w:bCs/>
          <w:color w:val="1C1C1C"/>
          <w:sz w:val="22"/>
          <w:szCs w:val="22"/>
          <w:shd w:val="clear" w:color="auto" w:fill="FFFFFF"/>
        </w:rPr>
        <w:t>What services are available to organizations for filing guidance</w:t>
      </w:r>
      <w:r w:rsidRPr="00D108C3">
        <w:rPr>
          <w:rFonts w:ascii="Arial" w:hAnsi="Arial" w:cs="Arial"/>
          <w:b/>
          <w:bCs/>
          <w:sz w:val="22"/>
          <w:szCs w:val="22"/>
        </w:rPr>
        <w:t>?</w:t>
      </w:r>
    </w:p>
    <w:p w14:paraId="7BB3F6C3" w14:textId="77777777" w:rsidR="00435471" w:rsidRPr="00D108C3" w:rsidRDefault="00435471" w:rsidP="00435471">
      <w:pPr>
        <w:spacing w:after="100"/>
        <w:rPr>
          <w:rFonts w:ascii="Arial" w:hAnsi="Arial" w:cs="Arial"/>
          <w:sz w:val="22"/>
          <w:szCs w:val="22"/>
        </w:rPr>
      </w:pPr>
      <w:r>
        <w:rPr>
          <w:rFonts w:ascii="Arial" w:hAnsi="Arial" w:cs="Arial"/>
          <w:b/>
          <w:bCs/>
          <w:sz w:val="22"/>
          <w:szCs w:val="22"/>
        </w:rPr>
        <w:t xml:space="preserve">A: </w:t>
      </w:r>
      <w:r w:rsidRPr="00D108C3">
        <w:rPr>
          <w:rFonts w:ascii="Arial" w:hAnsi="Arial" w:cs="Arial"/>
          <w:sz w:val="22"/>
          <w:szCs w:val="22"/>
        </w:rPr>
        <w:t xml:space="preserve">The Illinois Attorney General’s Office has initiated the Illinois Attorney General Charitable Trust Online Filing System, which is an online portal to help you with the entire process of filing. The portal will assist the organization in completing, submitting, and paying fees for necessary filings. </w:t>
      </w:r>
    </w:p>
    <w:p w14:paraId="420E8117" w14:textId="28EF2221" w:rsidR="00435471" w:rsidRPr="00D108C3" w:rsidRDefault="00435471" w:rsidP="00435471">
      <w:pPr>
        <w:spacing w:after="100"/>
        <w:rPr>
          <w:rFonts w:ascii="Arial" w:hAnsi="Arial" w:cs="Arial"/>
          <w:sz w:val="22"/>
          <w:szCs w:val="22"/>
        </w:rPr>
      </w:pPr>
      <w:r w:rsidRPr="00D108C3">
        <w:rPr>
          <w:rFonts w:ascii="Arial" w:hAnsi="Arial" w:cs="Arial"/>
          <w:sz w:val="22"/>
          <w:szCs w:val="22"/>
        </w:rPr>
        <w:sym w:font="Wingdings" w:char="F0E8"/>
      </w:r>
      <w:r>
        <w:rPr>
          <w:rFonts w:ascii="Arial" w:hAnsi="Arial" w:cs="Arial"/>
          <w:sz w:val="22"/>
          <w:szCs w:val="22"/>
        </w:rPr>
        <w:t xml:space="preserve"> </w:t>
      </w:r>
      <w:r w:rsidRPr="00D108C3">
        <w:rPr>
          <w:rFonts w:ascii="Arial" w:hAnsi="Arial" w:cs="Arial"/>
          <w:sz w:val="22"/>
          <w:szCs w:val="22"/>
        </w:rPr>
        <w:t>The range of forms includes: initial registrations, annual/ 6-month reports</w:t>
      </w:r>
      <w:r w:rsidR="00500009">
        <w:rPr>
          <w:rFonts w:ascii="Arial" w:hAnsi="Arial" w:cs="Arial"/>
          <w:sz w:val="22"/>
          <w:szCs w:val="22"/>
        </w:rPr>
        <w:t xml:space="preserve"> such as </w:t>
      </w:r>
      <w:r w:rsidR="00500009" w:rsidRPr="00DA0C8A">
        <w:rPr>
          <w:rFonts w:ascii="Arial" w:hAnsi="Arial" w:cs="Arial"/>
          <w:sz w:val="22"/>
          <w:szCs w:val="22"/>
        </w:rPr>
        <w:t>such as the AG990-IL or CO-17 forms</w:t>
      </w:r>
      <w:r w:rsidRPr="00D108C3">
        <w:rPr>
          <w:rFonts w:ascii="Arial" w:hAnsi="Arial" w:cs="Arial"/>
          <w:sz w:val="22"/>
          <w:szCs w:val="22"/>
        </w:rPr>
        <w:t>, community benefits reports, or requests for extensions.</w:t>
      </w:r>
    </w:p>
    <w:p w14:paraId="017B1316" w14:textId="77777777" w:rsidR="00A32B3E" w:rsidRPr="000105E9" w:rsidRDefault="00A32B3E" w:rsidP="00DA0C8A">
      <w:pPr>
        <w:spacing w:after="100"/>
        <w:rPr>
          <w:rFonts w:ascii="Arial" w:hAnsi="Arial" w:cs="Arial"/>
          <w:sz w:val="22"/>
          <w:szCs w:val="22"/>
        </w:rPr>
      </w:pPr>
    </w:p>
    <w:sectPr w:rsidR="00A32B3E" w:rsidRPr="000105E9" w:rsidSect="00DA0C8A">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457D"/>
    <w:multiLevelType w:val="multilevel"/>
    <w:tmpl w:val="29C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77D35"/>
    <w:multiLevelType w:val="multilevel"/>
    <w:tmpl w:val="6BD6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A7051"/>
    <w:multiLevelType w:val="multilevel"/>
    <w:tmpl w:val="26E2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0437E"/>
    <w:multiLevelType w:val="multilevel"/>
    <w:tmpl w:val="E47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822373">
    <w:abstractNumId w:val="0"/>
  </w:num>
  <w:num w:numId="2" w16cid:durableId="1305429458">
    <w:abstractNumId w:val="1"/>
  </w:num>
  <w:num w:numId="3" w16cid:durableId="1585798188">
    <w:abstractNumId w:val="2"/>
  </w:num>
  <w:num w:numId="4" w16cid:durableId="85808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8A"/>
    <w:rsid w:val="000105E9"/>
    <w:rsid w:val="00040DE9"/>
    <w:rsid w:val="0006729E"/>
    <w:rsid w:val="001A1674"/>
    <w:rsid w:val="002E476D"/>
    <w:rsid w:val="0034542D"/>
    <w:rsid w:val="00376826"/>
    <w:rsid w:val="003E57AF"/>
    <w:rsid w:val="00435471"/>
    <w:rsid w:val="004C4999"/>
    <w:rsid w:val="00500009"/>
    <w:rsid w:val="00595B86"/>
    <w:rsid w:val="00610A4C"/>
    <w:rsid w:val="00660B70"/>
    <w:rsid w:val="00675AF0"/>
    <w:rsid w:val="00677A29"/>
    <w:rsid w:val="007014EA"/>
    <w:rsid w:val="00742D29"/>
    <w:rsid w:val="007459FD"/>
    <w:rsid w:val="00753957"/>
    <w:rsid w:val="007D02B7"/>
    <w:rsid w:val="00936C3A"/>
    <w:rsid w:val="00A32B3E"/>
    <w:rsid w:val="00A8358E"/>
    <w:rsid w:val="00AE0B29"/>
    <w:rsid w:val="00AE7660"/>
    <w:rsid w:val="00B00D06"/>
    <w:rsid w:val="00D014B1"/>
    <w:rsid w:val="00D108C3"/>
    <w:rsid w:val="00D57BDC"/>
    <w:rsid w:val="00D91C8A"/>
    <w:rsid w:val="00DA0C8A"/>
    <w:rsid w:val="00E54279"/>
    <w:rsid w:val="00ED2C27"/>
    <w:rsid w:val="00F02D78"/>
    <w:rsid w:val="00FC2A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7718"/>
  <w15:chartTrackingRefBased/>
  <w15:docId w15:val="{48AF169C-615A-1B47-99E2-C2EB0138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C8A"/>
    <w:rPr>
      <w:rFonts w:eastAsiaTheme="majorEastAsia" w:cstheme="majorBidi"/>
      <w:color w:val="272727" w:themeColor="text1" w:themeTint="D8"/>
    </w:rPr>
  </w:style>
  <w:style w:type="paragraph" w:styleId="Title">
    <w:name w:val="Title"/>
    <w:basedOn w:val="Normal"/>
    <w:next w:val="Normal"/>
    <w:link w:val="TitleChar"/>
    <w:uiPriority w:val="10"/>
    <w:qFormat/>
    <w:rsid w:val="00DA0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C8A"/>
    <w:pPr>
      <w:spacing w:before="160"/>
      <w:jc w:val="center"/>
    </w:pPr>
    <w:rPr>
      <w:i/>
      <w:iCs/>
      <w:color w:val="404040" w:themeColor="text1" w:themeTint="BF"/>
    </w:rPr>
  </w:style>
  <w:style w:type="character" w:customStyle="1" w:styleId="QuoteChar">
    <w:name w:val="Quote Char"/>
    <w:basedOn w:val="DefaultParagraphFont"/>
    <w:link w:val="Quote"/>
    <w:uiPriority w:val="29"/>
    <w:rsid w:val="00DA0C8A"/>
    <w:rPr>
      <w:i/>
      <w:iCs/>
      <w:color w:val="404040" w:themeColor="text1" w:themeTint="BF"/>
    </w:rPr>
  </w:style>
  <w:style w:type="paragraph" w:styleId="ListParagraph">
    <w:name w:val="List Paragraph"/>
    <w:basedOn w:val="Normal"/>
    <w:uiPriority w:val="34"/>
    <w:qFormat/>
    <w:rsid w:val="00DA0C8A"/>
    <w:pPr>
      <w:ind w:left="720"/>
      <w:contextualSpacing/>
    </w:pPr>
  </w:style>
  <w:style w:type="character" w:styleId="IntenseEmphasis">
    <w:name w:val="Intense Emphasis"/>
    <w:basedOn w:val="DefaultParagraphFont"/>
    <w:uiPriority w:val="21"/>
    <w:qFormat/>
    <w:rsid w:val="00DA0C8A"/>
    <w:rPr>
      <w:i/>
      <w:iCs/>
      <w:color w:val="0F4761" w:themeColor="accent1" w:themeShade="BF"/>
    </w:rPr>
  </w:style>
  <w:style w:type="paragraph" w:styleId="IntenseQuote">
    <w:name w:val="Intense Quote"/>
    <w:basedOn w:val="Normal"/>
    <w:next w:val="Normal"/>
    <w:link w:val="IntenseQuoteChar"/>
    <w:uiPriority w:val="30"/>
    <w:qFormat/>
    <w:rsid w:val="00DA0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C8A"/>
    <w:rPr>
      <w:i/>
      <w:iCs/>
      <w:color w:val="0F4761" w:themeColor="accent1" w:themeShade="BF"/>
    </w:rPr>
  </w:style>
  <w:style w:type="character" w:styleId="IntenseReference">
    <w:name w:val="Intense Reference"/>
    <w:basedOn w:val="DefaultParagraphFont"/>
    <w:uiPriority w:val="32"/>
    <w:qFormat/>
    <w:rsid w:val="00DA0C8A"/>
    <w:rPr>
      <w:b/>
      <w:bCs/>
      <w:smallCaps/>
      <w:color w:val="0F4761" w:themeColor="accent1" w:themeShade="BF"/>
      <w:spacing w:val="5"/>
    </w:rPr>
  </w:style>
  <w:style w:type="table" w:styleId="TableGrid">
    <w:name w:val="Table Grid"/>
    <w:basedOn w:val="TableNormal"/>
    <w:uiPriority w:val="39"/>
    <w:rsid w:val="00A8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999"/>
    <w:rPr>
      <w:color w:val="467886" w:themeColor="hyperlink"/>
      <w:u w:val="single"/>
    </w:rPr>
  </w:style>
  <w:style w:type="character" w:styleId="UnresolvedMention">
    <w:name w:val="Unresolved Mention"/>
    <w:basedOn w:val="DefaultParagraphFont"/>
    <w:uiPriority w:val="99"/>
    <w:semiHidden/>
    <w:unhideWhenUsed/>
    <w:rsid w:val="004C4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5510">
      <w:bodyDiv w:val="1"/>
      <w:marLeft w:val="0"/>
      <w:marRight w:val="0"/>
      <w:marTop w:val="0"/>
      <w:marBottom w:val="0"/>
      <w:divBdr>
        <w:top w:val="none" w:sz="0" w:space="0" w:color="auto"/>
        <w:left w:val="none" w:sz="0" w:space="0" w:color="auto"/>
        <w:bottom w:val="none" w:sz="0" w:space="0" w:color="auto"/>
        <w:right w:val="none" w:sz="0" w:space="0" w:color="auto"/>
      </w:divBdr>
    </w:div>
    <w:div w:id="1002127297">
      <w:bodyDiv w:val="1"/>
      <w:marLeft w:val="0"/>
      <w:marRight w:val="0"/>
      <w:marTop w:val="0"/>
      <w:marBottom w:val="0"/>
      <w:divBdr>
        <w:top w:val="none" w:sz="0" w:space="0" w:color="auto"/>
        <w:left w:val="none" w:sz="0" w:space="0" w:color="auto"/>
        <w:bottom w:val="none" w:sz="0" w:space="0" w:color="auto"/>
        <w:right w:val="none" w:sz="0" w:space="0" w:color="auto"/>
      </w:divBdr>
    </w:div>
    <w:div w:id="1500654666">
      <w:bodyDiv w:val="1"/>
      <w:marLeft w:val="0"/>
      <w:marRight w:val="0"/>
      <w:marTop w:val="0"/>
      <w:marBottom w:val="0"/>
      <w:divBdr>
        <w:top w:val="none" w:sz="0" w:space="0" w:color="auto"/>
        <w:left w:val="none" w:sz="0" w:space="0" w:color="auto"/>
        <w:bottom w:val="none" w:sz="0" w:space="0" w:color="auto"/>
        <w:right w:val="none" w:sz="0" w:space="0" w:color="auto"/>
      </w:divBdr>
    </w:div>
    <w:div w:id="1505826744">
      <w:bodyDiv w:val="1"/>
      <w:marLeft w:val="0"/>
      <w:marRight w:val="0"/>
      <w:marTop w:val="0"/>
      <w:marBottom w:val="0"/>
      <w:divBdr>
        <w:top w:val="none" w:sz="0" w:space="0" w:color="auto"/>
        <w:left w:val="none" w:sz="0" w:space="0" w:color="auto"/>
        <w:bottom w:val="none" w:sz="0" w:space="0" w:color="auto"/>
        <w:right w:val="none" w:sz="0" w:space="0" w:color="auto"/>
      </w:divBdr>
    </w:div>
    <w:div w:id="2010868595">
      <w:bodyDiv w:val="1"/>
      <w:marLeft w:val="0"/>
      <w:marRight w:val="0"/>
      <w:marTop w:val="0"/>
      <w:marBottom w:val="0"/>
      <w:divBdr>
        <w:top w:val="none" w:sz="0" w:space="0" w:color="auto"/>
        <w:left w:val="none" w:sz="0" w:space="0" w:color="auto"/>
        <w:bottom w:val="none" w:sz="0" w:space="0" w:color="auto"/>
        <w:right w:val="none" w:sz="0" w:space="0" w:color="auto"/>
      </w:divBdr>
    </w:div>
    <w:div w:id="21436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llinoisattorneygeneral.gov/consumer-protection/char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484</Words>
  <Characters>2859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Seyon</dc:creator>
  <cp:keywords/>
  <dc:description/>
  <cp:lastModifiedBy>Caitlyn Kurtz</cp:lastModifiedBy>
  <cp:revision>3</cp:revision>
  <dcterms:created xsi:type="dcterms:W3CDTF">2025-12-01T18:50:00Z</dcterms:created>
  <dcterms:modified xsi:type="dcterms:W3CDTF">2025-12-03T07:29:00Z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d81a14e2-f4f9-41a2-ba0a-c1c2e6a0a9d7</vt:lpwstr>
  </property>
</Properties>
</file>